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5" w:rsidRPr="00400185" w:rsidRDefault="00400185" w:rsidP="00400185">
      <w:pPr>
        <w:keepLines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МИНИСТЕРСТВО НАУКИ И ВЫСШЕГО ОБРАЗОВАНИЯ РФ</w:t>
      </w:r>
    </w:p>
    <w:p w:rsidR="00400185" w:rsidRPr="00400185" w:rsidRDefault="00400185" w:rsidP="00400185">
      <w:pPr>
        <w:keepLines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СОВЕТ РЕКТОРОВ ВУЗОВ ТОМСКОЙ ОБЛАСТИ</w:t>
      </w:r>
    </w:p>
    <w:p w:rsidR="00400185" w:rsidRPr="00400185" w:rsidRDefault="00400185" w:rsidP="00400185">
      <w:pPr>
        <w:keepLines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ОТКРЫТАЯ РЕГИОНАЛЬНАЯ МЕЖВУЗОВСКАЯ ОЛИМПИАДА 2018-2019 </w:t>
      </w:r>
    </w:p>
    <w:p w:rsidR="00400185" w:rsidRPr="00400185" w:rsidRDefault="00400185" w:rsidP="00400185">
      <w:pPr>
        <w:keepLines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ИСТОРИЯ  (8-10 КЛАСС)</w:t>
      </w:r>
    </w:p>
    <w:p w:rsidR="00400185" w:rsidRPr="00400185" w:rsidRDefault="00400185" w:rsidP="00400185">
      <w:pPr>
        <w:keepLines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ЗАКЛЮЧИТЕЛЬНЫЙ  ЭТАП </w:t>
      </w:r>
    </w:p>
    <w:p w:rsidR="00400185" w:rsidRPr="00400185" w:rsidRDefault="00400185" w:rsidP="00400185">
      <w:pPr>
        <w:spacing w:after="0"/>
        <w:ind w:left="-851" w:right="-284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ab/>
        <w:t>1  ВАРИАНТ</w:t>
      </w:r>
    </w:p>
    <w:p w:rsidR="00400185" w:rsidRPr="00400185" w:rsidRDefault="00622A6D" w:rsidP="00622A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       </w:t>
      </w:r>
      <w:r w:rsidRPr="00622A6D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(ОТВЕТЫ)</w:t>
      </w:r>
    </w:p>
    <w:p w:rsidR="00400185" w:rsidRDefault="00400185" w:rsidP="0040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Задание 1.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Расположите в хронологической последовательности понятия: </w:t>
      </w: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отзовисты, берковец, </w:t>
      </w:r>
      <w:proofErr w:type="spellStart"/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голштинцы</w:t>
      </w:r>
      <w:proofErr w:type="spellEnd"/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, шестидесятники, тархан, губной староста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.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Объясните каждое из этих понятий. Укажите, когда они возникли.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Оценка задания №1 – 6 баллов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Берковец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– старорусская единица измерения массы, равная 10 пудам (</w:t>
      </w:r>
      <w:smartTag w:uri="urn:schemas-microsoft-com:office:smarttags" w:element="metricconverter">
        <w:smartTagPr>
          <w:attr w:name="ProductID" w:val="164 кг"/>
        </w:smartTagPr>
        <w:r w:rsidRPr="00400185">
          <w:rPr>
            <w:rFonts w:ascii="Times New Roman" w:eastAsia="TimesNewRomanPSMT" w:hAnsi="Times New Roman" w:cs="Times New Roman"/>
            <w:sz w:val="20"/>
            <w:szCs w:val="20"/>
            <w:lang w:eastAsia="ru-RU"/>
          </w:rPr>
          <w:t>164 кг</w:t>
        </w:r>
      </w:smartTag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.). Впервые упоминается в XII веке.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Тархан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– грамота, дававшаяся владельцу вотчины. Освобождал от податей и предоставлял особые права. Термин возник после монголо-татарского нашествия.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Губной староста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– выборный голова местной администрации на Руси, руководитель губного управления (XVI в.).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proofErr w:type="spellStart"/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Голштинцы</w:t>
      </w:r>
      <w:proofErr w:type="spellEnd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– шведская политическая группировка, возникшая после смерти Карла XII с целью поддержки притязаний </w:t>
      </w:r>
      <w:proofErr w:type="spellStart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голштинского</w:t>
      </w:r>
      <w:proofErr w:type="spellEnd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герцога Карла Фридриха на корону Швеции. Поскольку у герцога были близкие отношения с Россией и Петром I эта партия, после </w:t>
      </w:r>
      <w:smartTag w:uri="urn:schemas-microsoft-com:office:smarttags" w:element="metricconverter">
        <w:smartTagPr>
          <w:attr w:name="ProductID" w:val="1725 г"/>
        </w:smartTagPr>
        <w:r w:rsidRPr="00400185">
          <w:rPr>
            <w:rFonts w:ascii="Times New Roman" w:eastAsia="TimesNewRomanPSMT" w:hAnsi="Times New Roman" w:cs="Times New Roman"/>
            <w:sz w:val="20"/>
            <w:szCs w:val="20"/>
            <w:lang w:eastAsia="ru-RU"/>
          </w:rPr>
          <w:t>1725 г</w:t>
        </w:r>
      </w:smartTag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. оказывала определённое влияние на политическую борьбу между придворными группировками. </w:t>
      </w:r>
      <w:proofErr w:type="spellStart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Голштинцы</w:t>
      </w:r>
      <w:proofErr w:type="spellEnd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поддерживали кандидатуру Петра II. Со смертью Екатерины I в </w:t>
      </w:r>
      <w:smartTag w:uri="urn:schemas-microsoft-com:office:smarttags" w:element="metricconverter">
        <w:smartTagPr>
          <w:attr w:name="ProductID" w:val="1727 г"/>
        </w:smartTagPr>
        <w:r w:rsidRPr="00400185">
          <w:rPr>
            <w:rFonts w:ascii="Times New Roman" w:eastAsia="TimesNewRomanPSMT" w:hAnsi="Times New Roman" w:cs="Times New Roman"/>
            <w:sz w:val="20"/>
            <w:szCs w:val="20"/>
            <w:lang w:eastAsia="ru-RU"/>
          </w:rPr>
          <w:t>1727 г</w:t>
        </w:r>
      </w:smartTag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. герцог </w:t>
      </w:r>
      <w:proofErr w:type="spellStart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Голштинский</w:t>
      </w:r>
      <w:proofErr w:type="spellEnd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утратил всяческое влияние и был вынужден летом указанного года покинуть Россию.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Отзовисты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– группа радикальных большевиков РСДРП, возникшая после революции 1905 года. Отзовисты настаивали на полном отказе от легальных форм массовой партийной работы и отзыве депутатов-социал-демократов из Третьей Государственной Думы.</w:t>
      </w:r>
    </w:p>
    <w:p w:rsidR="00400185" w:rsidRPr="00400185" w:rsidRDefault="00400185" w:rsidP="00400185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Шестидесятники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– субкультура советской интеллигенции, представители которой родились между 1925 и 1945 гг., в партийной среде или интеллигенции. Вера в коммунистические идеалы была для них самоочевидной, борьбе за них они посвятили свои жизни. Однако в результате сталинских «чисток» многие из их родителей были посажены или расстреляны. В результате это поколение стало больше рефлексировать, что приводило к скрытой оппозиции к советской власти.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1 балл за каждое понятие в случае правильного хронологического расположения и объяснения. 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Задание 2.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Расположите в хронологической последовательности события церковного раскола. В лист ответа запишите комбинацию цифр.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1. Никон по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кинул патриарший престол и удалился в основанный им Воскресенский монастырь под Москвой (Новый Иерусалим).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2. Заточение Ф.П. Морозовой в Боровске.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3. Священный собор, лишивший сана патриарха Никона.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4. Указ, велевший крестить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softHyphen/>
        <w:t>ся «щепотью», а также сообщавший, сколько земных поклонов правильно класть перед чтением знаменитой молитвы Святого Ефрема.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5. Сожжение протопопа Аввакума.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Оценка задания № 2 – 5 баллов </w:t>
      </w:r>
    </w:p>
    <w:p w:rsidR="00400185" w:rsidRPr="00400185" w:rsidRDefault="00400185" w:rsidP="004001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Ответ: 41325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При любой ошибке ответ обнуляется</w:t>
      </w: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Задание 3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.</w:t>
      </w:r>
    </w:p>
    <w:p w:rsidR="00400185" w:rsidRPr="00400185" w:rsidRDefault="00400185" w:rsidP="0040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</w:t>
      </w:r>
      <w:proofErr w:type="gramEnd"/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из перечисленных картин русских художников были написаны в первой, а какие ко второй половине </w:t>
      </w:r>
      <w:r w:rsidRPr="004001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XIX</w:t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века? </w:t>
      </w:r>
    </w:p>
    <w:p w:rsidR="00400185" w:rsidRPr="00400185" w:rsidRDefault="00400185" w:rsidP="0040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Суд Синедриона. «</w:t>
      </w:r>
      <w:proofErr w:type="gramStart"/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Повинен</w:t>
      </w:r>
      <w:proofErr w:type="gramEnd"/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смерти»</w:t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 Портрет О.А. Рюминой</w:t>
      </w:r>
    </w:p>
    <w:p w:rsidR="00400185" w:rsidRPr="00400185" w:rsidRDefault="00400185" w:rsidP="0040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>2. Явление Христа народу</w:t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 Сватовство майора</w:t>
      </w:r>
    </w:p>
    <w:p w:rsidR="00400185" w:rsidRPr="00400185" w:rsidRDefault="00400185" w:rsidP="0040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Последний день Помпеи</w:t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 Девушка в платке</w:t>
      </w:r>
    </w:p>
    <w:p w:rsidR="00400185" w:rsidRPr="00400185" w:rsidRDefault="00400185" w:rsidP="0040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Пётр </w:t>
      </w:r>
      <w:r w:rsidRPr="004001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допрашивает царевича Алексея</w:t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 Неутешное горе</w:t>
      </w:r>
    </w:p>
    <w:p w:rsidR="00400185" w:rsidRPr="00400185" w:rsidRDefault="00400185" w:rsidP="00400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185" w:rsidRPr="00400185" w:rsidTr="00B90FCB">
        <w:tc>
          <w:tcPr>
            <w:tcW w:w="4785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Первая половина 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4786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Вторая половина 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века</w:t>
            </w:r>
          </w:p>
        </w:tc>
      </w:tr>
      <w:tr w:rsidR="00400185" w:rsidRPr="00400185" w:rsidTr="00B90FCB">
        <w:tc>
          <w:tcPr>
            <w:tcW w:w="4785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  <w:t>Оценка задания №3 – 4 балла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185" w:rsidRPr="00400185" w:rsidTr="00B90FCB">
        <w:tc>
          <w:tcPr>
            <w:tcW w:w="4785" w:type="dxa"/>
          </w:tcPr>
          <w:p w:rsidR="00400185" w:rsidRPr="00400185" w:rsidRDefault="00400185" w:rsidP="0040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Первая половина 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XIX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4786" w:type="dxa"/>
          </w:tcPr>
          <w:p w:rsidR="00400185" w:rsidRPr="00400185" w:rsidRDefault="00400185" w:rsidP="0040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половина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XIX</w:t>
            </w:r>
            <w:r w:rsidRPr="004001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века</w:t>
            </w:r>
          </w:p>
        </w:tc>
      </w:tr>
      <w:tr w:rsidR="00400185" w:rsidRPr="00400185" w:rsidTr="00B90FCB">
        <w:tc>
          <w:tcPr>
            <w:tcW w:w="4785" w:type="dxa"/>
          </w:tcPr>
          <w:p w:rsidR="00400185" w:rsidRPr="00400185" w:rsidRDefault="00400185" w:rsidP="0040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3, 5, 6, 7</w:t>
            </w:r>
          </w:p>
        </w:tc>
        <w:tc>
          <w:tcPr>
            <w:tcW w:w="4786" w:type="dxa"/>
          </w:tcPr>
          <w:p w:rsidR="00400185" w:rsidRPr="00400185" w:rsidRDefault="00400185" w:rsidP="0040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1, 2, 4, 8</w:t>
            </w:r>
          </w:p>
        </w:tc>
      </w:tr>
    </w:tbl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0-1 правильных ответов – 0 баллов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2-3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правильных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ответа – 1 балл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4-5 правильных ответов – 2 балла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6-7 правильных ответов – 3 балла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8 правильных ответов – 4 балла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Задание 4. 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Определите личность по описанию. Укажите две реформы, проведённые этим императором.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«Я не разделяю довольно обычного пренебрежения к значению этого кратковременного царствования;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напрасно считают его каким-то случайным эпизодом нашей истории, печальным капризом недоброжелательной к нам судьбы, не имеющим внутренней связи с предшествующим временем и ничего не давшим дальнейшему: нет, это царствование органически связано как протест – с прошедшим, а как первый неудачный опыт новой политики, как назидательный урок для преемников – с будущим.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Инстинкт порядка, дисциплины и равенства был руководящим побуждением деятельности этою императора, борьба с сословными привилегиями – его главной задачей».</w:t>
      </w:r>
    </w:p>
    <w:p w:rsidR="00400185" w:rsidRPr="00400185" w:rsidRDefault="00400185" w:rsidP="00400185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  <w:t>Оценка задания №4 – 4 балла</w:t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Павел </w:t>
      </w:r>
      <w:r w:rsidRPr="00400185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(2 балла). Указ о трёхдневной барщине (1 балл). Акт о престолонаследии (1 балл).</w:t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Задание 5.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 русском языке сохранился ряд пословиц, отражающих конкретные исторические ситуации. </w:t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1. Кричать во всю Ивановскую</w:t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2.На лбу написано</w:t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связи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 чем возникли данные пословицы?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Оценка задания №5 – 6 баллов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Ответ: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1. В старину площадь в Кремле, на которой стоит колокольня Ивана Великого, называли Ивановской. На этой площади дьяки оглашали указы, распоряжения и прочие документы, касавшиеся жителей Москвы и всех народов России. Чтобы всем было хорошо слышно, дьяк читал очень громко, кричал во всю Ивановскую (3 балла).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2. Данное выражение возникло в первой половине XVIII столетия. Тогда российская императрица Елизавета Петровна издала указ, требующий клеймить всех пойманных преступников. Таким образом, воров и убийц можно было легко отличить от законопослушных граждан. Клеймо ставилось на лбу и сохранялось на коже всю жизнь (3 балла).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Задание 6.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Перед вами кадр из советского кинофильма: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33675" cy="2110740"/>
            <wp:effectExtent l="0" t="0" r="9525" b="3810"/>
            <wp:docPr id="12" name="Рисунок 12" descr="Нев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в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Укажите название фильма, год выхода на экраны и режиссёра, который его снял.</w:t>
      </w:r>
    </w:p>
    <w:p w:rsidR="00400185" w:rsidRPr="00400185" w:rsidRDefault="00400185" w:rsidP="004001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Назовите имя известного советского актёра, представленного в кадре. Кто из советских писателей написал поэму о представленных событиях? В какой стране показ этого фильма до </w:t>
      </w:r>
      <w:smartTag w:uri="urn:schemas-microsoft-com:office:smarttags" w:element="metricconverter">
        <w:smartTagPr>
          <w:attr w:name="ProductID" w:val="1966 г"/>
        </w:smartTagPr>
        <w:r w:rsidRPr="00400185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1966 г</w:t>
        </w:r>
      </w:smartTag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. был запрещён?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  <w:t>Оценка задания №6 – 7 баллов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400185" w:rsidRPr="00400185" w:rsidRDefault="00400185" w:rsidP="004001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Александр Невский (1 балл). 1938 (1 балл). С.М. Эйзенштейн (1 балл).</w:t>
      </w:r>
    </w:p>
    <w:p w:rsidR="00400185" w:rsidRPr="00400185" w:rsidRDefault="00400185" w:rsidP="004001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Николай Черкасов (1 балл). К.М. Симонов (2 балла). ФРГ (1 балл).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Задание 7.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Соотнесите имя князя, годы его правления, и княжество, которым он в эти годы правил. Данные внесите в таблицу.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340"/>
        <w:gridCol w:w="3420"/>
      </w:tblGrid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Имя князя</w:t>
            </w: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княжества</w:t>
            </w: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1137-1138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1219-1230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1264-1301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1252-1263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1231-1269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1318-1326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1223-1246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c>
          <w:tcPr>
            <w:tcW w:w="360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1303-1325</w:t>
            </w:r>
          </w:p>
        </w:tc>
        <w:tc>
          <w:tcPr>
            <w:tcW w:w="3420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А) Дмитрий Михайлович, Юрий Данилович, Мстислав Давыдович, Александр Ярославич, Всеволод </w:t>
      </w:r>
      <w:proofErr w:type="spell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Мстиславич</w:t>
      </w:r>
      <w:proofErr w:type="spell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Лев Данилович, </w:t>
      </w:r>
      <w:proofErr w:type="spell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Василько</w:t>
      </w:r>
      <w:proofErr w:type="spell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Романович, Михаил Всеволодович.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Б) Галицкое княжество, Черниговское княжество, Волынское княжество, Тверское княжество, Московское княжество, Владимиро-Суздальское княжество, Псковское княжество, Смоленское княжество.</w:t>
      </w:r>
    </w:p>
    <w:p w:rsidR="00400185" w:rsidRPr="00400185" w:rsidRDefault="00400185" w:rsidP="004001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  <w:t>Оценка задания №7 – 8 баллов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Всеволод </w:t>
      </w:r>
      <w:proofErr w:type="spell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Мстиславич</w:t>
      </w:r>
      <w:proofErr w:type="spell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Псковское княжество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2. Мстислав Давыдович – Смоленское княжество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Лев Данилович – Галицкое княжество;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Александр Ярославич – Владимиро-Суздальское княжество;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Василько</w:t>
      </w:r>
      <w:proofErr w:type="spell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Романович – Волынское княжество;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 Дмитрий Михайлович – Тверское княжество;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7. Михаил Всеволодович – Черниговское княжество;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8. Юрий Данилович – Московское княжество.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 балл за правильно заполненную строку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Задание 8.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Прочтите отрывки из мемуаров современников. </w:t>
      </w:r>
      <w:proofErr w:type="gramStart"/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Укажите</w:t>
      </w:r>
      <w:proofErr w:type="gramEnd"/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 каких событиях идёт речь в отрывках; их год, месяц и число (там где необходимо). Помните, что позиция не засчитывается, если у события нет даты. Выстройте номера событий в хронологической последовательности.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1) «Мы указывали, что наступление есть авантюра, грозящая самому существованию армии. Но Временное правительство опьяняло себя празднословием. Солдатскую массу, потрясённую революцией до дна, министры считали глиной, из которой можно сделать всё что угодно».</w:t>
      </w:r>
    </w:p>
    <w:p w:rsidR="00400185" w:rsidRPr="00400185" w:rsidRDefault="00400185" w:rsidP="004001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>2) «В тот же день белогвардейцы и юнкера сдали Кремль. Их беспрепятственно отпустили на свободу. В мирном договоре значилось:</w:t>
      </w:r>
    </w:p>
    <w:p w:rsidR="00400185" w:rsidRPr="00400185" w:rsidRDefault="00400185" w:rsidP="00400185">
      <w:pPr>
        <w:shd w:val="clear" w:color="auto" w:fill="FFFFFF"/>
        <w:spacing w:after="0" w:line="240" w:lineRule="auto"/>
        <w:ind w:firstLine="18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Комитет общественной безопасности прекращает своё существование.</w:t>
      </w:r>
    </w:p>
    <w:p w:rsidR="00400185" w:rsidRPr="00400185" w:rsidRDefault="00400185" w:rsidP="00400185">
      <w:pPr>
        <w:shd w:val="clear" w:color="auto" w:fill="FFFFFF"/>
        <w:spacing w:after="0" w:line="240" w:lineRule="auto"/>
        <w:ind w:firstLine="18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 New Roman" w:hAnsi="Times New Roman" w:cs="Times New Roman"/>
          <w:sz w:val="20"/>
          <w:szCs w:val="20"/>
          <w:lang w:eastAsia="ru-RU"/>
        </w:rPr>
        <w:t>2. Белая гвардия возвращает оружие и расформировывается. Офицеры остаются при присвоенном их званию оружии. В юнкерских училищах сохраняется лишь то оружие, которое необходимо для обучения. Всё остальное оружие юнкерами возвращается. Военно-революционный комитет гарантирует всем свободу и неприкосновенность личности…».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3) </w:t>
      </w:r>
      <w:r w:rsidRPr="0040018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«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следующий день большевики взяли свой реванш... В этот день была опубликована моя нота, и она послужила поводом для первой вооруженной демонстрации на улицах столицы против меня и против Временного правительства. К 3-4 часам дня к Мариинскому дворцу пришел запасный батальон Финляндского полка с плакатами: "Долой Милюкова!", "Милюков, в отставку!" За ним подошли еще роты 180-го запасного батальона и около роты Балтийского флотского экипажа.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Большинство солдат не знало, зачем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их ведут».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4) «Подавленная, нервничающая оппозиция выглядит жалко. Ни одного красивого жеста, ни одного возвышенного слова. Никакого мужества, никакого напора. Пусто, мертво, никак. Чернов, избранный 244 голосами против 153,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поданных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Спиридонову, председателем собрания, произносит длинную декламационную, пустую, осторожную речь против большевистской тирании. Программа, предложенная им, с некоторыми формальными оговорками, практически схожа с программой правительства».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5) «Наши предупреждения имели, однако, меньше веса, чем быстрые успехи … 13 числа он взял Лугу, 16 – Красное Село и Гатчину, направляя удар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на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Петроград–Москва. На 10-й день наступления … был уже в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Царском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Его конные разъезды видели с возвышенности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золочённый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купол Исаакиевского собора».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6) «</w:t>
      </w:r>
      <w:r w:rsidRPr="0040018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Еще через день-два в центральном большевистском органе, в "Правде", были напечатаны в виде фельетона … Ленина. Они содержали резюме его новой доктрины, изложенной в его речах. </w:t>
      </w:r>
      <w:proofErr w:type="gramStart"/>
      <w:r w:rsidRPr="0040018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были … о мировой войне и всемирной социалистической революции, о парламентарной республике, о Советах рабочих и батрацких депутатов, об организованном захвате, о вооруженных рабочих, о социал-предателях, о грязном белье социал-демократии, о коммунистической партии и т. д. Не было в … того же, чего не было и в речах: экономической программы и марксистского анализа объективных условий нашей революции».</w:t>
      </w:r>
      <w:proofErr w:type="gramEnd"/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7) «Вследствие полного расстройства транспорта и отсутствия подвоза необходимых материалов остановились заводы и фабрики. Вынужденная безработица и крайнее обострение продовольственного кризиса, вызванного тем же расстройством транспорта, довели народные массы до полного отчаяния. Это чувство ещё обострилось той ненавистью к правительству и теми тяжкими подозрениями против власти, которые глубоко запали в народную душу.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Все это вылилось в народную смуту стихийной силы, а к этому движению присоединяются теперь и войска…Мы почитаем последним и единственным средством решительное изменение Вашим Императорским Величеством направления внутренней политики, согласно неоднократно выраженным желаниям народного представительства, сословий и общественных организаций, немедленный созыв законодательных палат, отставку нынешнего Совета министров и поручение лицу, заслуживающему всенародного доверия, представить Вам, Государь, на утверждение список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нового кабинета, способного управлять страною в полном согласии с народным представительством».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8) «… сейм большинством голосов социал-демократов принял закон о переходе к нему, после отречения…верховной власти, предоставив Временному правительству лишь внешние сношения, военное законодательство и военное управление».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9) «О выступлении пулемётного полка и об его призыве к другим войсковым частям и заводам я узнал в здании Таврического дворца…во время заседания. Это известие явилось для меня неожиданностью. Демонстрация возникла самопроизвольно, по безымянной инициативе снизу. На другой день демонстрация развернулась ещё шире, и уже с участием нашей партии».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10) «Фразы советских правителей о «разгорающемся уже пожаре мировой революции», о переговорах «через головы немецких генералов с немецким пролетариатом» были только фразами, предназначенными для толпы. Ещё менее основания имело заявление Ленина, что договор этот «только передышка, только клочок бумажки, который можно порвать когда угодно…».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Оценка задания №8 – 20 баллов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67D2" w:rsidRDefault="00E567D2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67D2" w:rsidRDefault="00E567D2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Ответ: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120"/>
        <w:gridCol w:w="2451"/>
      </w:tblGrid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документа, о котором идет речь в отрывке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Февральская революция/телеграмма группы из 23 членов Государственного совета Николаю </w:t>
            </w: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 февраля (8 марта) – 3 (16) марта 1917 / 28 февраля 1917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spacing w:after="0" w:line="240" w:lineRule="auto"/>
              <w:ind w:firstLine="18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«Апрельских тезисов» В.И. Ленина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(20) апреля 1917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«Апрельский кризис» Временного правительства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апреля (2 мая) 1917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Июньское наступление 18 июня (1 июля)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(19 июля) 1917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«Июльский кризис» Временного правительства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3-5 июля 1917</w:t>
            </w:r>
          </w:p>
        </w:tc>
      </w:tr>
      <w:tr w:rsidR="00400185" w:rsidRPr="00400185" w:rsidTr="00B90FCB">
        <w:trPr>
          <w:trHeight w:val="197"/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Закон о восстановлении автономных прав Финляндии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июля 1917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Вооружённое восстание в Москве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(15 ноября) 1917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Учредительное собрание/речь В. Чернова на открытии Учредительного собрания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января 1918</w:t>
            </w:r>
          </w:p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Брест-Литовский</w:t>
            </w:r>
            <w:proofErr w:type="gramEnd"/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мирный договор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март-апрель 1918</w:t>
            </w:r>
          </w:p>
        </w:tc>
      </w:tr>
      <w:tr w:rsidR="00400185" w:rsidRPr="00400185" w:rsidTr="00B90FCB">
        <w:trPr>
          <w:jc w:val="center"/>
        </w:trPr>
        <w:tc>
          <w:tcPr>
            <w:tcW w:w="468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0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Наступление Юденича на Петроград</w:t>
            </w:r>
          </w:p>
        </w:tc>
        <w:tc>
          <w:tcPr>
            <w:tcW w:w="2451" w:type="dxa"/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октябрь 1919</w:t>
            </w:r>
          </w:p>
        </w:tc>
      </w:tr>
    </w:tbl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Отдельно по 1 баллу ставится за правильность указанного номера в хронологической последовательности. По 1 баллу ставится за верное определение события, но только при указании даты.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Задание 9.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Перед вами таблица показателей, характеризующих развитие Российской Империи в 1880-1890-х годах. Установите соответствие между показателями и числовыми значениями</w:t>
      </w:r>
      <w:r w:rsidRPr="00400185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ru-RU"/>
        </w:rPr>
        <w:footnoteReference w:id="1"/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1003"/>
      </w:tblGrid>
      <w:tr w:rsidR="00400185" w:rsidRPr="00400185" w:rsidTr="00B90FCB">
        <w:tc>
          <w:tcPr>
            <w:tcW w:w="8568" w:type="dxa"/>
          </w:tcPr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Процент пахотных земель в Курской губернии по переписи </w:t>
            </w:r>
            <w:smartTag w:uri="urn:schemas-microsoft-com:office:smarttags" w:element="metricconverter">
              <w:smartTagPr>
                <w:attr w:name="ProductID" w:val="1897 г"/>
              </w:smartTagPr>
              <w:r w:rsidRPr="00400185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1897 г</w:t>
              </w:r>
            </w:smartTag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Количество рабочих приходящихся на одну больницу на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400185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1890 г</w:t>
              </w:r>
            </w:smartTag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Количество университетов в Российской империи на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400185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1895 г</w:t>
              </w:r>
            </w:smartTag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Количество церковно-приходских училищ, находящихся в ведении Святейшего Синода.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Количество акционерных банков коммерческого кредита.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Государственные расходы по военному министерству по росписям 1896-1899 гг. в рублях на душу населения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7. Количество эскадренных броненосцев в русском флоте на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400185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1898 г</w:t>
              </w:r>
            </w:smartTag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8. Процент мелкого рогатого скота (овец и коз) от общего количества сельскохозяйственных животных на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0185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1896 г</w:t>
              </w:r>
            </w:smartTag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 Количество рабочих в Российской Империи, занятых на золотых промыслах.</w:t>
            </w:r>
          </w:p>
          <w:p w:rsidR="00400185" w:rsidRPr="00400185" w:rsidRDefault="00400185" w:rsidP="004001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10. Количество министерств и равных им установлений в Российской Империи на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400185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1898 г</w:t>
              </w:r>
            </w:smartTag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7"/>
              <w:gridCol w:w="457"/>
              <w:gridCol w:w="457"/>
              <w:gridCol w:w="457"/>
              <w:gridCol w:w="457"/>
              <w:gridCol w:w="458"/>
              <w:gridCol w:w="458"/>
              <w:gridCol w:w="458"/>
              <w:gridCol w:w="458"/>
              <w:gridCol w:w="458"/>
            </w:tblGrid>
            <w:tr w:rsidR="00400185" w:rsidRPr="00400185" w:rsidTr="00B90FCB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0018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400185" w:rsidRPr="00400185" w:rsidTr="00B90FCB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185" w:rsidRPr="00400185" w:rsidRDefault="00400185" w:rsidP="0040018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 41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Б) 70 000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В) 2247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Г) 15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Д) 2,5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Е) 48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Ж) 17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З) 14 282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И) 74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К) 11</w:t>
            </w:r>
          </w:p>
          <w:p w:rsidR="00400185" w:rsidRPr="00400185" w:rsidRDefault="00400185" w:rsidP="00400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  <w:t>Оценка задания №9 –10 баллов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</w:tblGrid>
      <w:tr w:rsidR="00400185" w:rsidRPr="00400185" w:rsidTr="00B90FC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00185" w:rsidRPr="00400185" w:rsidTr="00B90FC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85" w:rsidRPr="00400185" w:rsidRDefault="00400185" w:rsidP="00400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40018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</w:tbl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1 балл за каждый правильный ответ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Задание 10.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«Общий государственный сейм составляется из государя и двух палат. Первую под именем высшей палаты образует сенатский департамент, присутствующий в одной из двух столиц, с присовокуплением к нему единственно на время сейма и по назначению государя из других департаментов известного числа сенаторов, образовательным учреждением определенного. Вторая под названием палаты земских послов составляется, по назначению государя из половинного числа послов и депутатов, в каждой наместнической области посольскою палатою из среды своей избранных». Из какого документа взят данный отрывок? Какие идеи здесь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выражаются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каково было их последующее развитие?</w:t>
      </w:r>
    </w:p>
    <w:p w:rsidR="00400185" w:rsidRPr="00400185" w:rsidRDefault="00400185" w:rsidP="004001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Оценка задания №10 – 5 баллов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1. Уставная грамота Российской империи (1 балл) 2. парламентаризм, конституционализм (от 1 до 4 баллов за полноту и аргументированность ответа).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Задание 11.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 легенде, император Александр </w:t>
      </w:r>
      <w:r w:rsidRPr="00400185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1825 году получил пророчество от человека по имени Прохор Мошнин. Назовите имя, под которым этот человек известен сейчас, расскажите об этом человеке.</w:t>
      </w:r>
    </w:p>
    <w:p w:rsidR="00400185" w:rsidRPr="00400185" w:rsidRDefault="00400185" w:rsidP="004001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Оценка задания № 11 –  5 баллов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1) Серафим Саровский (1 балл). От 1 до 4 баллов в зависимости от полноты ответа.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Задание 12.</w:t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Перед вами портреты известных советских и российских деятелей культуры</w:t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81125" cy="1867535"/>
            <wp:effectExtent l="0" t="0" r="9525" b="0"/>
            <wp:docPr id="11" name="Рисунок 11" descr="Пастер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астерн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2.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4760" cy="1867535"/>
            <wp:effectExtent l="0" t="0" r="2540" b="0"/>
            <wp:docPr id="10" name="Рисунок 10" descr="Солженицы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олженицы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3.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4760" cy="1877695"/>
            <wp:effectExtent l="0" t="0" r="2540" b="8255"/>
            <wp:docPr id="9" name="Рисунок 9" descr="сахар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ахаров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4.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74445" cy="1936115"/>
            <wp:effectExtent l="0" t="0" r="1905" b="6985"/>
            <wp:docPr id="8" name="Рисунок 8" descr="Рой Медвед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ой Медведе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85" w:rsidRPr="00400185" w:rsidRDefault="00400185" w:rsidP="004001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Укажите номер портрета и назовите деятеля, сторонника развития «социализма с человеческим лицом».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2. Укажите номер портрета и назовите деятеля, сторонника конвергенции, который одним из первых поставил вопрос о цивилизационном отставании СССР от Запада.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Укажите номер портрета и назовите деятеля, являвшегося одним из основоположников </w:t>
      </w:r>
      <w:proofErr w:type="spell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неослафянофильского</w:t>
      </w:r>
      <w:proofErr w:type="spell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направления общественной мысли.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Укажите номер портрета и назовите </w:t>
      </w:r>
      <w:proofErr w:type="gramStart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деятеля, являющегося в этом ряду исключением и объясните</w:t>
      </w:r>
      <w:proofErr w:type="gramEnd"/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свой выбор.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ab/>
        <w:t>Оценка задания №12 – 10 баллов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1. №4. Р. Медведев (2 балла).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2. №3. А. Сахаров (2 балла).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3. №2. А. Солженицын (2 балла).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4. №1. Б. Пастернак (2 балла) (не являлся диссидентом; 2 балла).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Задание 13.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Перед вами герб одной из советских социалистических республик, входящи</w:t>
      </w:r>
      <w:proofErr w:type="gramStart"/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х в СССР</w:t>
      </w:r>
      <w:proofErr w:type="gramEnd"/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название которой закрашено.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>
        <w:rPr>
          <w:rFonts w:ascii="Times New Roman" w:eastAsia="TimesNewRomanPSMT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36115" cy="2276475"/>
            <wp:effectExtent l="0" t="0" r="6985" b="9525"/>
            <wp:docPr id="7" name="Рисунок 7" descr="Карело-Финская С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ело-Финская ССР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1) Как называется данная республика?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2) В </w:t>
      </w:r>
      <w:proofErr w:type="gramStart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результате</w:t>
      </w:r>
      <w:proofErr w:type="gramEnd"/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каких событий она была образована?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3) В каком году она была образована? Сколько лет она просуществовала?</w:t>
      </w: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>Оценка задания №13 – 10 баллов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Ответ:</w:t>
      </w: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1)</w:t>
      </w:r>
      <w:r w:rsidRPr="004001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Карело-Финская Советская Социалистическая Республика (2 балл)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2) В результате победы советских войск в советско-финской войне (2 балл)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0185">
        <w:rPr>
          <w:rFonts w:ascii="Times New Roman" w:eastAsia="Calibri" w:hAnsi="Times New Roman" w:cs="Times New Roman"/>
          <w:sz w:val="20"/>
          <w:szCs w:val="20"/>
          <w:lang w:eastAsia="ru-RU"/>
        </w:rPr>
        <w:t>3) В марте 1940 года (3 балла). 16 лет (3 балла).</w:t>
      </w: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0185" w:rsidRPr="00400185" w:rsidRDefault="00400185" w:rsidP="004001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026D" w:rsidRDefault="0085026D"/>
    <w:sectPr w:rsidR="0085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2A" w:rsidRDefault="003F102A" w:rsidP="00400185">
      <w:pPr>
        <w:spacing w:after="0" w:line="240" w:lineRule="auto"/>
      </w:pPr>
      <w:r>
        <w:separator/>
      </w:r>
    </w:p>
  </w:endnote>
  <w:endnote w:type="continuationSeparator" w:id="0">
    <w:p w:rsidR="003F102A" w:rsidRDefault="003F102A" w:rsidP="0040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2A" w:rsidRDefault="003F102A" w:rsidP="00400185">
      <w:pPr>
        <w:spacing w:after="0" w:line="240" w:lineRule="auto"/>
      </w:pPr>
      <w:r>
        <w:separator/>
      </w:r>
    </w:p>
  </w:footnote>
  <w:footnote w:type="continuationSeparator" w:id="0">
    <w:p w:rsidR="003F102A" w:rsidRDefault="003F102A" w:rsidP="00400185">
      <w:pPr>
        <w:spacing w:after="0" w:line="240" w:lineRule="auto"/>
      </w:pPr>
      <w:r>
        <w:continuationSeparator/>
      </w:r>
    </w:p>
  </w:footnote>
  <w:footnote w:id="1">
    <w:p w:rsidR="00400185" w:rsidRPr="00293DE6" w:rsidRDefault="00400185" w:rsidP="00400185">
      <w:pPr>
        <w:pStyle w:val="a3"/>
      </w:pPr>
      <w:r>
        <w:rPr>
          <w:rStyle w:val="a5"/>
        </w:rPr>
        <w:footnoteRef/>
      </w:r>
      <w:r>
        <w:t xml:space="preserve"> Цифры взяты из источника конца </w:t>
      </w:r>
      <w:r>
        <w:rPr>
          <w:lang w:val="en-US"/>
        </w:rPr>
        <w:t>XIX</w:t>
      </w:r>
      <w:r w:rsidRPr="00293DE6">
        <w:t xml:space="preserve"> </w:t>
      </w:r>
      <w:r>
        <w:t>века.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18E"/>
    <w:multiLevelType w:val="hybridMultilevel"/>
    <w:tmpl w:val="3E686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AF2C13"/>
    <w:multiLevelType w:val="hybridMultilevel"/>
    <w:tmpl w:val="414C6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0"/>
    <w:rsid w:val="00016670"/>
    <w:rsid w:val="003F102A"/>
    <w:rsid w:val="00400185"/>
    <w:rsid w:val="00622A6D"/>
    <w:rsid w:val="0085026D"/>
    <w:rsid w:val="00CE5796"/>
    <w:rsid w:val="00E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001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18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0018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001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18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0018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2414</Words>
  <Characters>13761</Characters>
  <Application>Microsoft Office Word</Application>
  <DocSecurity>0</DocSecurity>
  <Lines>114</Lines>
  <Paragraphs>32</Paragraphs>
  <ScaleCrop>false</ScaleCrop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PK</dc:creator>
  <cp:keywords/>
  <dc:description/>
  <cp:lastModifiedBy>Metodist PK</cp:lastModifiedBy>
  <cp:revision>5</cp:revision>
  <dcterms:created xsi:type="dcterms:W3CDTF">2019-05-04T03:47:00Z</dcterms:created>
  <dcterms:modified xsi:type="dcterms:W3CDTF">2019-05-04T05:50:00Z</dcterms:modified>
</cp:coreProperties>
</file>